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8BC55" w14:textId="698BDAB6" w:rsidR="00AC2E02" w:rsidRDefault="00E250E2">
      <w:pPr>
        <w:pageBreakBefore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materials</w:t>
      </w:r>
    </w:p>
    <w:p w14:paraId="5B1DE138" w14:textId="1E60776C" w:rsidR="00AC2E02" w:rsidRDefault="00AC2E02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C00D73" w14:textId="7AA7E1B8" w:rsidR="00B1662B" w:rsidRDefault="009F0605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8B36B9" wp14:editId="2EB5720E">
            <wp:extent cx="5733415" cy="432816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011B" w14:textId="4211A72A" w:rsidR="00AC2E02" w:rsidRDefault="002050A5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50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Fig. </w:t>
      </w:r>
      <w:r w:rsidR="00E250E2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250E2">
        <w:rPr>
          <w:rFonts w:ascii="Times New Roman" w:eastAsia="Times New Roman" w:hAnsi="Times New Roman" w:cs="Times New Roman"/>
          <w:b/>
          <w:bCs/>
          <w:sz w:val="24"/>
          <w:szCs w:val="24"/>
        </w:rPr>
        <w:t>Flow cytometry-assisted analysis of auranofin cytotoxicity.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 Cell cycle distribution after 2-24 h auranofin treatment of 3 NB and 1 fibroblast cell lines. See </w:t>
      </w:r>
      <w:r w:rsidR="00E250E2">
        <w:rPr>
          <w:rFonts w:ascii="Times New Roman" w:eastAsia="Times New Roman" w:hAnsi="Times New Roman" w:cs="Times New Roman"/>
          <w:i/>
          <w:iCs/>
          <w:sz w:val="24"/>
          <w:szCs w:val="24"/>
        </w:rPr>
        <w:t>Materials and Methods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 for details. </w:t>
      </w:r>
    </w:p>
    <w:p w14:paraId="32942524" w14:textId="77777777" w:rsidR="00AC2E02" w:rsidRDefault="00AC2E02" w:rsidP="00B1662B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619B89" w14:textId="71C032BD" w:rsidR="00AC2E02" w:rsidRDefault="009F0605" w:rsidP="000B4A1F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676F99" wp14:editId="3ED84C1C">
            <wp:extent cx="5733415" cy="4970145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BF38" w14:textId="332008C8" w:rsidR="00AC2E02" w:rsidRDefault="002050A5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50A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250E2">
        <w:rPr>
          <w:rFonts w:ascii="Times New Roman" w:eastAsia="Times New Roman" w:hAnsi="Times New Roman" w:cs="Times New Roman"/>
          <w:b/>
          <w:bCs/>
          <w:sz w:val="24"/>
          <w:szCs w:val="24"/>
        </w:rPr>
        <w:t>2. Cell cycle distribution in response to combinations of individual gene knockdown and auranofin.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 See </w:t>
      </w:r>
      <w:r w:rsidR="00E250E2">
        <w:rPr>
          <w:rFonts w:ascii="Times New Roman" w:eastAsia="Times New Roman" w:hAnsi="Times New Roman" w:cs="Times New Roman"/>
          <w:i/>
          <w:iCs/>
          <w:sz w:val="24"/>
          <w:szCs w:val="24"/>
        </w:rPr>
        <w:t>Materials and Methods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 for details.</w:t>
      </w:r>
    </w:p>
    <w:p w14:paraId="25ECA947" w14:textId="77777777" w:rsidR="00AC2E02" w:rsidRDefault="00AC2E02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6CBC8" w14:textId="172ED25D" w:rsidR="00AC2E02" w:rsidRDefault="009F0605" w:rsidP="000B4A1F">
      <w:pPr>
        <w:spacing w:after="160"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48FB32" wp14:editId="4AA17B9F">
            <wp:extent cx="3549396" cy="70408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L48544-Figure S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9396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79F9" w14:textId="329B4F25" w:rsidR="00AC2E02" w:rsidRPr="00B1662B" w:rsidRDefault="002050A5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50A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25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Histograms of cell staining with PI and YO-PRO™-1 after treatment with siRNA and auranofin. 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See </w:t>
      </w:r>
      <w:r w:rsidR="00E250E2">
        <w:rPr>
          <w:rFonts w:ascii="Times New Roman" w:eastAsia="Times New Roman" w:hAnsi="Times New Roman" w:cs="Times New Roman"/>
          <w:i/>
          <w:iCs/>
          <w:sz w:val="24"/>
          <w:szCs w:val="24"/>
        </w:rPr>
        <w:t>Materials and Methods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50E2" w:rsidRPr="00B1662B">
        <w:rPr>
          <w:rFonts w:ascii="Times New Roman" w:eastAsia="Times New Roman" w:hAnsi="Times New Roman" w:cs="Times New Roman"/>
          <w:sz w:val="24"/>
          <w:szCs w:val="24"/>
        </w:rPr>
        <w:t>for details.</w:t>
      </w:r>
    </w:p>
    <w:p w14:paraId="3C98C1EB" w14:textId="77777777" w:rsidR="00AC2E02" w:rsidRDefault="00AC2E02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5435B4" w14:textId="28C02DCE" w:rsidR="00AC2E02" w:rsidRDefault="000B4A1F" w:rsidP="00B1662B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048980" wp14:editId="0EFBBD7E">
            <wp:extent cx="5733415" cy="4353560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125A" w14:textId="45E3BF9B" w:rsidR="00AC2E02" w:rsidRDefault="002050A5">
      <w:pPr>
        <w:spacing w:after="16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50A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="00E250E2">
        <w:rPr>
          <w:rFonts w:ascii="Times New Roman" w:eastAsia="Times New Roman" w:hAnsi="Times New Roman" w:cs="Times New Roman"/>
          <w:b/>
          <w:bCs/>
          <w:sz w:val="24"/>
          <w:szCs w:val="24"/>
        </w:rPr>
        <w:t>4. Intracellular ROS content (DCFH</w:t>
      </w:r>
      <w:r w:rsidR="00E250E2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E25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-DA fluorescence assays). 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See </w:t>
      </w:r>
      <w:r w:rsidR="00E250E2">
        <w:rPr>
          <w:rFonts w:ascii="Times New Roman" w:eastAsia="Times New Roman" w:hAnsi="Times New Roman" w:cs="Times New Roman"/>
          <w:i/>
          <w:iCs/>
          <w:sz w:val="24"/>
          <w:szCs w:val="24"/>
        </w:rPr>
        <w:t>Materials and Methods</w:t>
      </w:r>
      <w:r w:rsidR="00E250E2">
        <w:rPr>
          <w:rFonts w:ascii="Times New Roman" w:eastAsia="Times New Roman" w:hAnsi="Times New Roman" w:cs="Times New Roman"/>
          <w:sz w:val="24"/>
          <w:szCs w:val="24"/>
        </w:rPr>
        <w:t xml:space="preserve"> for details.</w:t>
      </w:r>
    </w:p>
    <w:p w14:paraId="3CD61057" w14:textId="77777777" w:rsidR="00AC2E02" w:rsidRDefault="00AC2E02"/>
    <w:sectPr w:rsidR="00AC2E0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82E0E" w14:textId="77777777" w:rsidR="000C4CBF" w:rsidRDefault="000C4CBF">
      <w:pPr>
        <w:spacing w:line="240" w:lineRule="auto"/>
      </w:pPr>
      <w:r>
        <w:separator/>
      </w:r>
    </w:p>
  </w:endnote>
  <w:endnote w:type="continuationSeparator" w:id="0">
    <w:p w14:paraId="12C16150" w14:textId="77777777" w:rsidR="000C4CBF" w:rsidRDefault="000C4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ED797-9C13-476D-B0FC-DEFB6895D737}"/>
    <w:embedItalic r:id="rId2" w:fontKey="{2F5F11C2-A8DA-45EE-A00C-EE989014EE6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E66088A-5DA2-4169-9CBE-BC925E48D0F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E04DE" w14:textId="77777777" w:rsidR="000C4CBF" w:rsidRDefault="000C4CBF">
      <w:r>
        <w:separator/>
      </w:r>
    </w:p>
  </w:footnote>
  <w:footnote w:type="continuationSeparator" w:id="0">
    <w:p w14:paraId="0063F433" w14:textId="77777777" w:rsidR="000C4CBF" w:rsidRDefault="000C4C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64C"/>
    <w:rsid w:val="000B4A1F"/>
    <w:rsid w:val="000C4CBF"/>
    <w:rsid w:val="001503C9"/>
    <w:rsid w:val="0020066D"/>
    <w:rsid w:val="002050A5"/>
    <w:rsid w:val="002A3AB2"/>
    <w:rsid w:val="003F63A0"/>
    <w:rsid w:val="004E16D1"/>
    <w:rsid w:val="006A4E3B"/>
    <w:rsid w:val="006E61E9"/>
    <w:rsid w:val="007C5E9C"/>
    <w:rsid w:val="009F0605"/>
    <w:rsid w:val="00A9364C"/>
    <w:rsid w:val="00AC2E02"/>
    <w:rsid w:val="00B1662B"/>
    <w:rsid w:val="00CC6EE5"/>
    <w:rsid w:val="00E250E2"/>
    <w:rsid w:val="156D43EC"/>
    <w:rsid w:val="7CBA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5939DF"/>
  <w14:defaultImageDpi w14:val="32767"/>
  <w15:docId w15:val="{C77E2915-B992-4662-97FD-257BFFD6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line="276" w:lineRule="auto"/>
    </w:pPr>
    <w:rPr>
      <w:rFonts w:eastAsia="Arial"/>
      <w:sz w:val="22"/>
      <w:szCs w:val="22"/>
      <w:lang w:val="en" w:eastAsia="zh-CN"/>
    </w:rPr>
  </w:style>
  <w:style w:type="paragraph" w:styleId="1">
    <w:name w:val="heading 1"/>
    <w:basedOn w:val="a"/>
    <w:next w:val="a"/>
    <w:qFormat/>
    <w:pPr>
      <w:keepNext/>
      <w:keepLines/>
      <w:spacing w:before="360" w:after="80" w:line="278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160" w:after="80" w:line="278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160" w:after="80" w:line="278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80" w:after="40" w:line="278" w:lineRule="auto"/>
      <w:outlineLvl w:val="3"/>
    </w:pPr>
    <w:rPr>
      <w:rFonts w:ascii="Calibri" w:eastAsia="Calibri" w:hAnsi="Calibri" w:cs="Calibri"/>
      <w:i/>
      <w:iCs/>
      <w:color w:val="2F549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80" w:after="40" w:line="278" w:lineRule="auto"/>
      <w:outlineLvl w:val="4"/>
    </w:pPr>
    <w:rPr>
      <w:rFonts w:ascii="Calibri" w:eastAsia="Calibri" w:hAnsi="Calibri" w:cs="Calibri"/>
      <w:color w:val="2F5496"/>
      <w:sz w:val="24"/>
      <w:szCs w:val="24"/>
    </w:rPr>
  </w:style>
  <w:style w:type="paragraph" w:styleId="6">
    <w:name w:val="heading 6"/>
    <w:basedOn w:val="a"/>
    <w:next w:val="a"/>
    <w:qFormat/>
    <w:pPr>
      <w:keepNext/>
      <w:keepLines/>
      <w:spacing w:before="40" w:line="278" w:lineRule="auto"/>
      <w:outlineLvl w:val="5"/>
    </w:pPr>
    <w:rPr>
      <w:rFonts w:ascii="Calibri" w:eastAsia="Calibri" w:hAnsi="Calibri" w:cs="Calibri"/>
      <w:i/>
      <w:iCs/>
      <w:color w:val="595959"/>
      <w:sz w:val="24"/>
      <w:szCs w:val="24"/>
    </w:rPr>
  </w:style>
  <w:style w:type="paragraph" w:styleId="7">
    <w:name w:val="heading 7"/>
    <w:next w:val="a"/>
    <w:link w:val="70"/>
    <w:uiPriority w:val="9"/>
    <w:semiHidden/>
    <w:unhideWhenUsed/>
    <w:qFormat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8">
    <w:name w:val="heading 8"/>
    <w:next w:val="a"/>
    <w:link w:val="80"/>
    <w:uiPriority w:val="9"/>
    <w:semiHidden/>
    <w:unhideWhenUsed/>
    <w:qFormat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</w:rPr>
  </w:style>
  <w:style w:type="paragraph" w:styleId="9">
    <w:name w:val="heading 9"/>
    <w:next w:val="a"/>
    <w:link w:val="90"/>
    <w:uiPriority w:val="9"/>
    <w:semiHidden/>
    <w:unhideWhenUsed/>
    <w:qFormat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spacing w:after="160" w:line="278" w:lineRule="auto"/>
    </w:pPr>
    <w:rPr>
      <w:rFonts w:ascii="Calibri" w:eastAsia="Calibri" w:hAnsi="Calibri" w:cs="Calibri"/>
      <w:color w:val="595959"/>
      <w:sz w:val="28"/>
      <w:szCs w:val="28"/>
    </w:rPr>
  </w:style>
  <w:style w:type="paragraph" w:styleId="a4">
    <w:name w:val="Title"/>
    <w:basedOn w:val="a"/>
    <w:next w:val="a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5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Подзаголовок Знак"/>
    <w:basedOn w:val="a0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link w:val="a8"/>
    <w:uiPriority w:val="29"/>
    <w:qFormat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uiPriority w:val="34"/>
    <w:qFormat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rsid w:val="00205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2050A5"/>
    <w:rPr>
      <w:rFonts w:eastAsia="Arial"/>
      <w:sz w:val="18"/>
      <w:szCs w:val="18"/>
      <w:lang w:val="en" w:eastAsia="zh-CN"/>
    </w:rPr>
  </w:style>
  <w:style w:type="paragraph" w:styleId="ae">
    <w:name w:val="footer"/>
    <w:basedOn w:val="a"/>
    <w:link w:val="af"/>
    <w:rsid w:val="002050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rsid w:val="002050A5"/>
    <w:rPr>
      <w:rFonts w:eastAsia="Arial"/>
      <w:sz w:val="18"/>
      <w:szCs w:val="18"/>
      <w:lang w:val="e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JPOjXfihE6rWJVZlvZMp4widw==">CgMxLjA4AHIhMVJtYU1za01FMTlGcGhjVWNvTTZxVHNNSnhaS0Z6VUNp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Claire</cp:lastModifiedBy>
  <cp:revision>10</cp:revision>
  <dcterms:created xsi:type="dcterms:W3CDTF">2025-10-30T13:28:00Z</dcterms:created>
  <dcterms:modified xsi:type="dcterms:W3CDTF">2026-03-27T06:46:00Z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4E7EC43CD7484ED887F57F838B570CCC_12</vt:lpwstr>
  </property>
</Properties>
</file>